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1872D" w14:textId="77777777" w:rsidR="005F793A" w:rsidRDefault="005F793A" w:rsidP="00192708"/>
    <w:p w14:paraId="3A90FCF5" w14:textId="594C0E6C" w:rsidR="005F793A" w:rsidRDefault="005F793A" w:rsidP="00192708">
      <w:r w:rsidRPr="005F793A">
        <w:rPr>
          <w:noProof/>
        </w:rPr>
        <w:drawing>
          <wp:inline distT="0" distB="0" distL="0" distR="0" wp14:anchorId="427E65FD" wp14:editId="533D07F8">
            <wp:extent cx="5760720" cy="347345"/>
            <wp:effectExtent l="0" t="0" r="0" b="0"/>
            <wp:docPr id="15686352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347345"/>
                    </a:xfrm>
                    <a:prstGeom prst="rect">
                      <a:avLst/>
                    </a:prstGeom>
                    <a:noFill/>
                    <a:ln>
                      <a:noFill/>
                    </a:ln>
                  </pic:spPr>
                </pic:pic>
              </a:graphicData>
            </a:graphic>
          </wp:inline>
        </w:drawing>
      </w:r>
    </w:p>
    <w:p w14:paraId="3C49C354" w14:textId="77777777" w:rsidR="0014526D" w:rsidRDefault="0014526D" w:rsidP="00192708">
      <w:pPr>
        <w:rPr>
          <w:b/>
          <w:bCs/>
        </w:rPr>
      </w:pPr>
      <w:r>
        <w:rPr>
          <w:b/>
          <w:bCs/>
        </w:rPr>
        <w:t>ÖZET</w:t>
      </w:r>
    </w:p>
    <w:p w14:paraId="374C6BE5" w14:textId="58547CEF" w:rsidR="00192708" w:rsidRDefault="00192708" w:rsidP="00192708">
      <w:r>
        <w:t xml:space="preserve">Bu makalede, dönüşümsel öğrenme yaklaşımının yetişkin bireylerin sosyal katılımına etkisi, uluslararası iş birliğiyle gerçekleştirilen bir proje kapsamında ele alınmaktadır. Türkiye, </w:t>
      </w:r>
      <w:proofErr w:type="spellStart"/>
      <w:r>
        <w:t>Çekya</w:t>
      </w:r>
      <w:proofErr w:type="spellEnd"/>
      <w:r>
        <w:t xml:space="preserve"> ve Fransa ortaklığında yürütülen proje, yetişkin eğitimi süreçlerinde eleştirel düşünme, kişisel farkındalık ve aktif vatandaşlık becerilerini geliştirmeyi hedeflemiştir. Proje kapsamında gerçekleştirilen toplantılar, kültürel geziler ve yerel topluluk etkileşimleri aracılığıyla sosyal katılımın artırılmasına yönelik önemli bulgular elde edilmiştir.</w:t>
      </w:r>
    </w:p>
    <w:p w14:paraId="06A1D5A7" w14:textId="77777777" w:rsidR="0014526D" w:rsidRPr="0014526D" w:rsidRDefault="0014526D" w:rsidP="00192708">
      <w:pPr>
        <w:rPr>
          <w:b/>
          <w:bCs/>
        </w:rPr>
      </w:pPr>
      <w:r w:rsidRPr="0014526D">
        <w:rPr>
          <w:b/>
          <w:bCs/>
        </w:rPr>
        <w:t>GİRİŞ</w:t>
      </w:r>
    </w:p>
    <w:p w14:paraId="374C6BE7" w14:textId="2AEDFA23" w:rsidR="00192708" w:rsidRDefault="00192708" w:rsidP="00192708">
      <w:r>
        <w:t xml:space="preserve">Günümüzde yetişkin eğitimi yalnızca bilgi aktarımıyla sınırlı kalmamakta, bireylerin sosyal hayata aktif katılımını destekleyen yaklaşımları da içermektedir. Dönüşümsel öğrenme yaklaşımı, bireylerin mevcut düşünce kalıplarını sorgulamalarını sağlayarak kalıcı davranış değişikliği oluşturmayı hedefler. Bu bağlamda yürütülen “Dönüşümsel Öğrenme ile Sosyal Katılım” projesi, yaşam boyu öğrenme becerilerini desteklemek ve toplumsal bütünleşmeyi güçlendirmek amacıyla geliştirilmiştir. </w:t>
      </w:r>
    </w:p>
    <w:p w14:paraId="32CBD2B9" w14:textId="77777777" w:rsidR="00D915F7" w:rsidRPr="00D915F7" w:rsidRDefault="00D915F7" w:rsidP="00192708">
      <w:pPr>
        <w:rPr>
          <w:b/>
          <w:bCs/>
        </w:rPr>
      </w:pPr>
      <w:r w:rsidRPr="00D915F7">
        <w:rPr>
          <w:b/>
          <w:bCs/>
        </w:rPr>
        <w:t>PROJENİN AMACI VE GEREKÇESİ</w:t>
      </w:r>
    </w:p>
    <w:p w14:paraId="374C6BEA" w14:textId="1E54B5B6" w:rsidR="00192708" w:rsidRDefault="00192708" w:rsidP="00192708">
      <w:r>
        <w:t xml:space="preserve">Projenin temel amacı, yetişkin bireylerin sosyal hayata katılımını artırmak ve öğrenme süreçlerini daha anlamlı hale getirmektir. Bu doğrultuda katılımcıların eleştirel düşünme, kişisel farkındalık ve sosyal sorumluluk gibi beceriler kazanmaları hedeflenmiştir. Ayrıca geleneksel yetişkin eğitim programlarının kalıcı davranış değişikliği oluşturmakta yetersiz kalması, dönüşümsel öğrenme yaklaşımının uygulanmasını gerekli kılmıştır. </w:t>
      </w:r>
    </w:p>
    <w:p w14:paraId="374C6BEC" w14:textId="114EF898" w:rsidR="00192708" w:rsidRDefault="00192708" w:rsidP="00192708">
      <w:r>
        <w:t xml:space="preserve">Proje aynı zamanda dezavantajlı bölgelerde yaşayan yetişkin bireylerin sosyal katılımını teşvik ederek toplumsal bütünleşme ve aktif vatandaşlık ilkelerine katkı sağlamayı amaçlamaktadır. </w:t>
      </w:r>
    </w:p>
    <w:p w14:paraId="270A4753" w14:textId="77777777" w:rsidR="00D915F7" w:rsidRPr="00D915F7" w:rsidRDefault="00D915F7" w:rsidP="00192708">
      <w:pPr>
        <w:rPr>
          <w:b/>
          <w:bCs/>
        </w:rPr>
      </w:pPr>
      <w:r w:rsidRPr="00D915F7">
        <w:rPr>
          <w:b/>
          <w:bCs/>
        </w:rPr>
        <w:t>YÖNTEM VE UYGULAMA SÜRECİ</w:t>
      </w:r>
    </w:p>
    <w:p w14:paraId="374C6BEF" w14:textId="6EAE128B" w:rsidR="00192708" w:rsidRDefault="00192708" w:rsidP="00192708">
      <w:r>
        <w:t xml:space="preserve">Proje dört günlük faaliyet programı kapsamında yürütülmüştür. </w:t>
      </w:r>
      <w:proofErr w:type="gramStart"/>
      <w:r w:rsidR="00A336A8">
        <w:t>Türkiye</w:t>
      </w:r>
      <w:r w:rsidR="00E929AD">
        <w:t>(</w:t>
      </w:r>
      <w:proofErr w:type="gramEnd"/>
      <w:r w:rsidR="00E929AD">
        <w:t xml:space="preserve">Düzköy), </w:t>
      </w:r>
      <w:proofErr w:type="spellStart"/>
      <w:r w:rsidR="00E929AD">
        <w:t>Çekya</w:t>
      </w:r>
      <w:proofErr w:type="spellEnd"/>
      <w:r w:rsidR="00E929AD">
        <w:t xml:space="preserve"> (Prag) ve Fransa (Strasbourg)</w:t>
      </w:r>
      <w:r w:rsidR="003B60CA">
        <w:t xml:space="preserve"> lokasyonlarında gerçekleştirilen çalışmalar</w:t>
      </w:r>
      <w:r w:rsidR="00815DD2">
        <w:t xml:space="preserve">ın ilk </w:t>
      </w:r>
      <w:proofErr w:type="gramStart"/>
      <w:r w:rsidR="00815DD2">
        <w:t>gününde</w:t>
      </w:r>
      <w:r w:rsidR="00E929AD">
        <w:t xml:space="preserve"> </w:t>
      </w:r>
      <w:r>
        <w:t xml:space="preserve"> kapsayıcı</w:t>
      </w:r>
      <w:proofErr w:type="gramEnd"/>
      <w:r>
        <w:t xml:space="preserve"> eğitim, kültürlerarası etkileşim ve sosyal katılım hedefleri vurgulanmıştır. Katılımcıların uluslararası deneyim kazanması ve yerel toplulukların projeden faydalanması planlanmıştır. </w:t>
      </w:r>
    </w:p>
    <w:p w14:paraId="0978B4A3" w14:textId="77777777" w:rsidR="00436552" w:rsidRDefault="00436552" w:rsidP="00192708"/>
    <w:p w14:paraId="41906D27" w14:textId="773D005E" w:rsidR="0044749A" w:rsidRDefault="0044749A" w:rsidP="00436552">
      <w:pPr>
        <w:pStyle w:val="GvdeMetni"/>
        <w:spacing w:before="273" w:line="242" w:lineRule="auto"/>
        <w:ind w:left="141" w:right="1123" w:firstLine="706"/>
        <w:jc w:val="both"/>
      </w:pPr>
    </w:p>
    <w:p w14:paraId="58175C92" w14:textId="77777777" w:rsidR="00436552" w:rsidRDefault="00436552" w:rsidP="00192708"/>
    <w:p w14:paraId="374C6BF1" w14:textId="4744FE86" w:rsidR="00192708" w:rsidRDefault="00192708" w:rsidP="00192708">
      <w:r>
        <w:t xml:space="preserve">İkinci ve üçüncü günlerde gerçekleştirilen kültürel geziler, yerel halkla etkileşimler ve gözlem odaklı öğrenme etkinlikleri sayesinde katılımcılar farklı kültürleri deneyimleme fırsatı bulmuştur. Bu süreçte sosyal katılımın artırılması, gönüllülük faaliyetlerinin teşvik edilmesi ve kültürel paylaşımın güçlendirilmesi hedeflenmiştir. </w:t>
      </w:r>
    </w:p>
    <w:p w14:paraId="374C6BF3" w14:textId="03E25AD4" w:rsidR="00192708" w:rsidRDefault="00192708" w:rsidP="00192708">
      <w:r>
        <w:t xml:space="preserve">Son gün yapılan değerlendirme toplantısında ise proje çıktıları ele alınmış, yerel ihtiyaçlara uygun sosyal sorumluluk projeleri geliştirilmesi kararlaştırılmıştır. </w:t>
      </w:r>
    </w:p>
    <w:p w14:paraId="7E25AC8B" w14:textId="77777777" w:rsidR="00D915F7" w:rsidRPr="00D915F7" w:rsidRDefault="00D915F7" w:rsidP="00192708">
      <w:pPr>
        <w:rPr>
          <w:b/>
          <w:bCs/>
        </w:rPr>
      </w:pPr>
      <w:r w:rsidRPr="00D915F7">
        <w:rPr>
          <w:b/>
          <w:bCs/>
        </w:rPr>
        <w:t>BULGULAR</w:t>
      </w:r>
    </w:p>
    <w:p w14:paraId="374C6BF6" w14:textId="66B9BA1C" w:rsidR="00192708" w:rsidRDefault="00192708" w:rsidP="00192708">
      <w:r>
        <w:t>Proje kapsamında elde edilen bulgular şu şekilde özetlenebilir:</w:t>
      </w:r>
    </w:p>
    <w:p w14:paraId="374C6BF7" w14:textId="77777777" w:rsidR="00192708" w:rsidRDefault="00192708" w:rsidP="00192708">
      <w:r>
        <w:t>Katılımcıların sosyal katılım düzeyinde artış gözlemlenmiştir.</w:t>
      </w:r>
    </w:p>
    <w:p w14:paraId="374C6BF8" w14:textId="77777777" w:rsidR="00192708" w:rsidRDefault="00192708" w:rsidP="00192708">
      <w:r>
        <w:t>Uluslararası iş birliği sayesinde kültürlerarası farkındalık gelişmiştir.</w:t>
      </w:r>
    </w:p>
    <w:p w14:paraId="374C6BF9" w14:textId="77777777" w:rsidR="00192708" w:rsidRDefault="00192708" w:rsidP="00192708">
      <w:r>
        <w:t>Yetişkin eğitiminde deneyim temelli öğrenme yöntemlerinin etkili olduğu belirlenmiştir.</w:t>
      </w:r>
    </w:p>
    <w:p w14:paraId="374C6BFA" w14:textId="77777777" w:rsidR="00192708" w:rsidRDefault="00192708" w:rsidP="00192708">
      <w:r>
        <w:t>Yerel halkın eğitim faaliyetlerine katılımı artmıştır.</w:t>
      </w:r>
    </w:p>
    <w:p w14:paraId="374C6BFB" w14:textId="6C982555" w:rsidR="00192708" w:rsidRDefault="00192708" w:rsidP="00192708">
      <w:r>
        <w:t xml:space="preserve">Dijital beceriler ve yabancı dil eğitimine yönelik ihtiyaçlar ortaya çıkmıştır. </w:t>
      </w:r>
    </w:p>
    <w:p w14:paraId="1C0BF780" w14:textId="77777777" w:rsidR="00D915F7" w:rsidRPr="00D915F7" w:rsidRDefault="00D915F7" w:rsidP="00192708">
      <w:pPr>
        <w:rPr>
          <w:b/>
          <w:bCs/>
        </w:rPr>
      </w:pPr>
      <w:r w:rsidRPr="00D915F7">
        <w:rPr>
          <w:b/>
          <w:bCs/>
        </w:rPr>
        <w:t>TARTIŞMA</w:t>
      </w:r>
    </w:p>
    <w:p w14:paraId="374C6BFE" w14:textId="1BC2D256" w:rsidR="00192708" w:rsidRDefault="00192708" w:rsidP="00192708">
      <w:r>
        <w:t>Elde edilen bulgular, dönüşümsel öğrenme yaklaşımının yetişkin eğitiminde önemli bir rol oynadığını göstermektedir. Özellikle kültürel etkileşim ve uygulamalı öğrenme faaliyetleri, katılımcıların sosyal sorumluluk bilincini artırmıştır. Bu durum, öğrenmenin yalnızca bireysel değil, toplumsal dönüşüm açısından da önemli olduğunu ortaya koymaktadır.</w:t>
      </w:r>
    </w:p>
    <w:p w14:paraId="0A68A75E" w14:textId="77777777" w:rsidR="00D915F7" w:rsidRPr="00D915F7" w:rsidRDefault="00D915F7" w:rsidP="00192708">
      <w:pPr>
        <w:rPr>
          <w:b/>
          <w:bCs/>
        </w:rPr>
      </w:pPr>
      <w:r w:rsidRPr="00D915F7">
        <w:rPr>
          <w:b/>
          <w:bCs/>
        </w:rPr>
        <w:t>SONUÇ VE ÖNERİLER</w:t>
      </w:r>
    </w:p>
    <w:p w14:paraId="374C6C00" w14:textId="5DEDE4A0" w:rsidR="00192708" w:rsidRDefault="00192708" w:rsidP="00192708">
      <w:r>
        <w:t>Sonuç olarak dönüşümsel öğrenme yaklaşımı, yetişkin bireylerin sosyal hayata aktif katılımını artırmada etkili bir yöntemdir. Bu doğrultuda:</w:t>
      </w:r>
    </w:p>
    <w:p w14:paraId="374C6C01" w14:textId="77777777" w:rsidR="00192708" w:rsidRDefault="00192708" w:rsidP="00192708">
      <w:r>
        <w:t>Yetişkin eğitim programlarında dönüşümsel öğrenme yaklaşımı yaygınlaştırılmalıdır.</w:t>
      </w:r>
    </w:p>
    <w:p w14:paraId="374C6C02" w14:textId="77777777" w:rsidR="00192708" w:rsidRDefault="00192708" w:rsidP="00192708">
      <w:r>
        <w:t>Uluslararası iş birlikleri artırılmalıdır.</w:t>
      </w:r>
    </w:p>
    <w:p w14:paraId="374C6C03" w14:textId="77777777" w:rsidR="00192708" w:rsidRDefault="00192708" w:rsidP="00192708">
      <w:r>
        <w:t>Yerel toplulukların ihtiyaçlarına yönelik projeler geliştirilmelidir.</w:t>
      </w:r>
    </w:p>
    <w:p w14:paraId="374C6C04" w14:textId="77777777" w:rsidR="00192708" w:rsidRDefault="00192708" w:rsidP="00192708">
      <w:r>
        <w:t>Dijital beceriler ve yabancı dil eğitimine ağırlık verilmelidir.</w:t>
      </w:r>
    </w:p>
    <w:p w14:paraId="374C6C05" w14:textId="77777777" w:rsidR="00DE7E99" w:rsidRDefault="00192708" w:rsidP="00192708">
      <w:r>
        <w:t>Bu önerilerin uygulanması, yaşam boyu öğrenme süreçlerinin güçlendirilmesine ve sosyal katılımın sürdürülebilir biçimde artırılmasına katkı sağlayacaktır.</w:t>
      </w:r>
    </w:p>
    <w:sectPr w:rsidR="00DE7E99">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497D5" w14:textId="77777777" w:rsidR="009D4948" w:rsidRDefault="009D4948" w:rsidP="001A6DDB">
      <w:pPr>
        <w:spacing w:after="0" w:line="240" w:lineRule="auto"/>
      </w:pPr>
      <w:r>
        <w:separator/>
      </w:r>
    </w:p>
  </w:endnote>
  <w:endnote w:type="continuationSeparator" w:id="0">
    <w:p w14:paraId="67B49A5B" w14:textId="77777777" w:rsidR="009D4948" w:rsidRDefault="009D4948" w:rsidP="001A6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A5ECF" w14:textId="734B8CCC" w:rsidR="002E2092" w:rsidRDefault="002E2092">
    <w:pPr>
      <w:pStyle w:val="AltBilgi"/>
    </w:pPr>
    <w:r>
      <w:rPr>
        <w:noProof/>
        <w:sz w:val="20"/>
      </w:rPr>
      <w:drawing>
        <wp:anchor distT="0" distB="0" distL="0" distR="0" simplePos="0" relativeHeight="251661312" behindDoc="1" locked="0" layoutInCell="1" allowOverlap="1" wp14:anchorId="34655CDB" wp14:editId="59203382">
          <wp:simplePos x="0" y="0"/>
          <wp:positionH relativeFrom="page">
            <wp:posOffset>38100</wp:posOffset>
          </wp:positionH>
          <wp:positionV relativeFrom="page">
            <wp:posOffset>10012680</wp:posOffset>
          </wp:positionV>
          <wp:extent cx="7482840" cy="533400"/>
          <wp:effectExtent l="0" t="0" r="381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7482840" cy="533400"/>
                  </a:xfrm>
                  <a:prstGeom prst="rect">
                    <a:avLst/>
                  </a:prstGeom>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72249" w14:textId="77777777" w:rsidR="009D4948" w:rsidRDefault="009D4948" w:rsidP="001A6DDB">
      <w:pPr>
        <w:spacing w:after="0" w:line="240" w:lineRule="auto"/>
      </w:pPr>
      <w:r>
        <w:separator/>
      </w:r>
    </w:p>
  </w:footnote>
  <w:footnote w:type="continuationSeparator" w:id="0">
    <w:p w14:paraId="4DE1699B" w14:textId="77777777" w:rsidR="009D4948" w:rsidRDefault="009D4948" w:rsidP="001A6D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E1093" w14:textId="2786BCE9" w:rsidR="001A6DDB" w:rsidRDefault="001A6DDB">
    <w:pPr>
      <w:pStyle w:val="stBilgi"/>
    </w:pPr>
    <w:r>
      <w:rPr>
        <w:noProof/>
        <w:sz w:val="20"/>
      </w:rPr>
      <w:drawing>
        <wp:anchor distT="0" distB="0" distL="0" distR="0" simplePos="0" relativeHeight="251659264" behindDoc="1" locked="0" layoutInCell="1" allowOverlap="1" wp14:anchorId="770A10A1" wp14:editId="550C310A">
          <wp:simplePos x="0" y="0"/>
          <wp:positionH relativeFrom="margin">
            <wp:posOffset>-823595</wp:posOffset>
          </wp:positionH>
          <wp:positionV relativeFrom="page">
            <wp:posOffset>68580</wp:posOffset>
          </wp:positionV>
          <wp:extent cx="7429500" cy="737235"/>
          <wp:effectExtent l="0" t="0" r="0" b="5715"/>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429500" cy="73723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E99"/>
    <w:rsid w:val="00115EE3"/>
    <w:rsid w:val="0014526D"/>
    <w:rsid w:val="00192708"/>
    <w:rsid w:val="001A6DDB"/>
    <w:rsid w:val="002437CF"/>
    <w:rsid w:val="002E2092"/>
    <w:rsid w:val="002F74F7"/>
    <w:rsid w:val="003B60CA"/>
    <w:rsid w:val="00436552"/>
    <w:rsid w:val="0044749A"/>
    <w:rsid w:val="004A2193"/>
    <w:rsid w:val="00570696"/>
    <w:rsid w:val="005F793A"/>
    <w:rsid w:val="00717274"/>
    <w:rsid w:val="00762BB8"/>
    <w:rsid w:val="00815DD2"/>
    <w:rsid w:val="009D4948"/>
    <w:rsid w:val="009D611C"/>
    <w:rsid w:val="00A336A8"/>
    <w:rsid w:val="00B139E3"/>
    <w:rsid w:val="00BD3C4A"/>
    <w:rsid w:val="00D915F7"/>
    <w:rsid w:val="00DE7E99"/>
    <w:rsid w:val="00E929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C6BE3"/>
  <w15:chartTrackingRefBased/>
  <w15:docId w15:val="{76A65440-B1E3-44BD-9E1E-9B3D69F90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E7E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DE7E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DE7E9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DE7E9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DE7E9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DE7E9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E7E9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E7E9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E7E9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E7E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DE7E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DE7E9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DE7E9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DE7E9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DE7E9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E7E9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E7E9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E7E99"/>
    <w:rPr>
      <w:rFonts w:eastAsiaTheme="majorEastAsia" w:cstheme="majorBidi"/>
      <w:color w:val="272727" w:themeColor="text1" w:themeTint="D8"/>
    </w:rPr>
  </w:style>
  <w:style w:type="paragraph" w:styleId="KonuBal">
    <w:name w:val="Title"/>
    <w:basedOn w:val="Normal"/>
    <w:next w:val="Normal"/>
    <w:link w:val="KonuBalChar"/>
    <w:uiPriority w:val="10"/>
    <w:qFormat/>
    <w:rsid w:val="00DE7E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E7E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E7E9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E7E9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E7E9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E7E99"/>
    <w:rPr>
      <w:i/>
      <w:iCs/>
      <w:color w:val="404040" w:themeColor="text1" w:themeTint="BF"/>
    </w:rPr>
  </w:style>
  <w:style w:type="paragraph" w:styleId="ListeParagraf">
    <w:name w:val="List Paragraph"/>
    <w:basedOn w:val="Normal"/>
    <w:uiPriority w:val="34"/>
    <w:qFormat/>
    <w:rsid w:val="00DE7E99"/>
    <w:pPr>
      <w:ind w:left="720"/>
      <w:contextualSpacing/>
    </w:pPr>
  </w:style>
  <w:style w:type="character" w:styleId="GlVurgulama">
    <w:name w:val="Intense Emphasis"/>
    <w:basedOn w:val="VarsaylanParagrafYazTipi"/>
    <w:uiPriority w:val="21"/>
    <w:qFormat/>
    <w:rsid w:val="00DE7E99"/>
    <w:rPr>
      <w:i/>
      <w:iCs/>
      <w:color w:val="0F4761" w:themeColor="accent1" w:themeShade="BF"/>
    </w:rPr>
  </w:style>
  <w:style w:type="paragraph" w:styleId="GlAlnt">
    <w:name w:val="Intense Quote"/>
    <w:basedOn w:val="Normal"/>
    <w:next w:val="Normal"/>
    <w:link w:val="GlAlntChar"/>
    <w:uiPriority w:val="30"/>
    <w:qFormat/>
    <w:rsid w:val="00DE7E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E7E99"/>
    <w:rPr>
      <w:i/>
      <w:iCs/>
      <w:color w:val="0F4761" w:themeColor="accent1" w:themeShade="BF"/>
    </w:rPr>
  </w:style>
  <w:style w:type="character" w:styleId="GlBavuru">
    <w:name w:val="Intense Reference"/>
    <w:basedOn w:val="VarsaylanParagrafYazTipi"/>
    <w:uiPriority w:val="32"/>
    <w:qFormat/>
    <w:rsid w:val="00DE7E99"/>
    <w:rPr>
      <w:b/>
      <w:bCs/>
      <w:smallCaps/>
      <w:color w:val="0F4761" w:themeColor="accent1" w:themeShade="BF"/>
      <w:spacing w:val="5"/>
    </w:rPr>
  </w:style>
  <w:style w:type="paragraph" w:styleId="stBilgi">
    <w:name w:val="header"/>
    <w:basedOn w:val="Normal"/>
    <w:link w:val="stBilgiChar"/>
    <w:uiPriority w:val="99"/>
    <w:unhideWhenUsed/>
    <w:rsid w:val="001A6DD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A6DDB"/>
  </w:style>
  <w:style w:type="paragraph" w:styleId="AltBilgi">
    <w:name w:val="footer"/>
    <w:basedOn w:val="Normal"/>
    <w:link w:val="AltBilgiChar"/>
    <w:uiPriority w:val="99"/>
    <w:unhideWhenUsed/>
    <w:rsid w:val="001A6DD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A6DDB"/>
  </w:style>
  <w:style w:type="paragraph" w:styleId="GvdeMetni">
    <w:name w:val="Body Text"/>
    <w:basedOn w:val="Normal"/>
    <w:link w:val="GvdeMetniChar"/>
    <w:uiPriority w:val="1"/>
    <w:qFormat/>
    <w:rsid w:val="00436552"/>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GvdeMetniChar">
    <w:name w:val="Gövde Metni Char"/>
    <w:basedOn w:val="VarsaylanParagrafYazTipi"/>
    <w:link w:val="GvdeMetni"/>
    <w:uiPriority w:val="1"/>
    <w:rsid w:val="00436552"/>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3370</Characters>
  <Application>Microsoft Office Word</Application>
  <DocSecurity>0</DocSecurity>
  <Lines>28</Lines>
  <Paragraphs>7</Paragraphs>
  <ScaleCrop>false</ScaleCrop>
  <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HACIOĞLU</dc:creator>
  <cp:keywords/>
  <dc:description/>
  <cp:lastModifiedBy>ali riza öztürk</cp:lastModifiedBy>
  <cp:revision>2</cp:revision>
  <dcterms:created xsi:type="dcterms:W3CDTF">2026-04-21T06:19:00Z</dcterms:created>
  <dcterms:modified xsi:type="dcterms:W3CDTF">2026-04-21T06:19:00Z</dcterms:modified>
</cp:coreProperties>
</file>